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2E" w:rsidRPr="00890A1B" w:rsidRDefault="00CA6E24" w:rsidP="00890A1B">
      <w:pPr>
        <w:pStyle w:val="NoSpacing"/>
        <w:rPr>
          <w:sz w:val="20"/>
        </w:rPr>
      </w:pPr>
      <w:r w:rsidRPr="00CA6E24">
        <w:rPr>
          <w:noProof/>
          <w:sz w:val="20"/>
          <w:lang w:eastAsia="en-GB"/>
        </w:rPr>
        <w:drawing>
          <wp:anchor distT="36576" distB="36576" distL="36576" distR="36576" simplePos="0" relativeHeight="251659264" behindDoc="0" locked="0" layoutInCell="1" allowOverlap="1" wp14:anchorId="568F8FDA" wp14:editId="5C8E71F7">
            <wp:simplePos x="0" y="0"/>
            <wp:positionH relativeFrom="column">
              <wp:posOffset>-165543</wp:posOffset>
            </wp:positionH>
            <wp:positionV relativeFrom="paragraph">
              <wp:posOffset>-174170</wp:posOffset>
            </wp:positionV>
            <wp:extent cx="2190102" cy="141236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" t="769" r="816" b="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97" cy="141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D47" w:rsidRDefault="00A43D47" w:rsidP="00890A1B">
      <w:pPr>
        <w:pStyle w:val="NoSpacing"/>
        <w:rPr>
          <w:sz w:val="20"/>
          <w:szCs w:val="16"/>
        </w:rPr>
      </w:pPr>
    </w:p>
    <w:p w:rsidR="00B50343" w:rsidRDefault="00B50343" w:rsidP="00890A1B">
      <w:pPr>
        <w:pStyle w:val="NoSpacing"/>
        <w:rPr>
          <w:sz w:val="20"/>
          <w:szCs w:val="16"/>
        </w:rPr>
      </w:pPr>
    </w:p>
    <w:p w:rsidR="00CA6E24" w:rsidRPr="00CA6E24" w:rsidRDefault="00CA6E24" w:rsidP="00CA6E24">
      <w:pPr>
        <w:spacing w:after="0" w:line="240" w:lineRule="auto"/>
        <w:jc w:val="center"/>
        <w:rPr>
          <w:b/>
          <w:sz w:val="24"/>
          <w:u w:val="single"/>
        </w:rPr>
      </w:pPr>
    </w:p>
    <w:p w:rsidR="00CA6E24" w:rsidRPr="00CA6E24" w:rsidRDefault="00CA6E24" w:rsidP="00CA6E24">
      <w:pPr>
        <w:spacing w:after="0" w:line="240" w:lineRule="auto"/>
        <w:jc w:val="right"/>
        <w:rPr>
          <w:rFonts w:ascii="Imprint MT Shadow" w:hAnsi="Imprint MT Shadow"/>
          <w:b/>
          <w:bCs/>
          <w:i/>
          <w:iCs/>
          <w:spacing w:val="0"/>
          <w:sz w:val="48"/>
          <w:szCs w:val="48"/>
          <w:u w:val="single"/>
        </w:rPr>
      </w:pPr>
      <w:r w:rsidRPr="00CA6E24">
        <w:rPr>
          <w:rFonts w:ascii="Imprint MT Shadow" w:hAnsi="Imprint MT Shadow"/>
          <w:b/>
          <w:bCs/>
          <w:i/>
          <w:iCs/>
          <w:spacing w:val="0"/>
          <w:sz w:val="48"/>
          <w:szCs w:val="48"/>
          <w:u w:val="single"/>
        </w:rPr>
        <w:t>K</w:t>
      </w:r>
      <w:r w:rsidRPr="00CA6E24">
        <w:rPr>
          <w:rFonts w:ascii="Imprint MT Shadow" w:hAnsi="Imprint MT Shadow"/>
          <w:b/>
          <w:bCs/>
          <w:i/>
          <w:iCs/>
          <w:spacing w:val="0"/>
          <w:sz w:val="40"/>
          <w:szCs w:val="40"/>
          <w:u w:val="single"/>
        </w:rPr>
        <w:t>ENTCHURCH</w:t>
      </w:r>
      <w:r w:rsidRPr="00CA6E24">
        <w:rPr>
          <w:rFonts w:ascii="Imprint MT Shadow" w:hAnsi="Imprint MT Shadow"/>
          <w:b/>
          <w:bCs/>
          <w:i/>
          <w:iCs/>
          <w:spacing w:val="0"/>
          <w:sz w:val="48"/>
          <w:szCs w:val="48"/>
          <w:u w:val="single"/>
        </w:rPr>
        <w:t xml:space="preserve"> P</w:t>
      </w:r>
      <w:r w:rsidRPr="00CA6E24">
        <w:rPr>
          <w:rFonts w:ascii="Imprint MT Shadow" w:hAnsi="Imprint MT Shadow"/>
          <w:b/>
          <w:bCs/>
          <w:i/>
          <w:iCs/>
          <w:spacing w:val="0"/>
          <w:sz w:val="40"/>
          <w:szCs w:val="40"/>
          <w:u w:val="single"/>
        </w:rPr>
        <w:t>ARISH</w:t>
      </w:r>
      <w:r w:rsidRPr="00CA6E24">
        <w:rPr>
          <w:rFonts w:ascii="Imprint MT Shadow" w:hAnsi="Imprint MT Shadow"/>
          <w:b/>
          <w:bCs/>
          <w:i/>
          <w:iCs/>
          <w:spacing w:val="0"/>
          <w:sz w:val="48"/>
          <w:szCs w:val="48"/>
          <w:u w:val="single"/>
        </w:rPr>
        <w:t xml:space="preserve"> C</w:t>
      </w:r>
      <w:r w:rsidRPr="00CA6E24">
        <w:rPr>
          <w:rFonts w:ascii="Imprint MT Shadow" w:hAnsi="Imprint MT Shadow"/>
          <w:b/>
          <w:bCs/>
          <w:i/>
          <w:iCs/>
          <w:spacing w:val="0"/>
          <w:sz w:val="40"/>
          <w:szCs w:val="40"/>
          <w:u w:val="single"/>
        </w:rPr>
        <w:t>OUNCIL</w:t>
      </w:r>
    </w:p>
    <w:p w:rsidR="00B50343" w:rsidRDefault="00B50343" w:rsidP="00890A1B">
      <w:pPr>
        <w:pStyle w:val="NoSpacing"/>
        <w:rPr>
          <w:sz w:val="20"/>
          <w:szCs w:val="16"/>
        </w:rPr>
      </w:pPr>
    </w:p>
    <w:p w:rsidR="00B50343" w:rsidRDefault="00B50343" w:rsidP="00890A1B">
      <w:pPr>
        <w:pStyle w:val="NoSpacing"/>
        <w:rPr>
          <w:sz w:val="20"/>
          <w:szCs w:val="16"/>
        </w:rPr>
      </w:pPr>
    </w:p>
    <w:p w:rsidR="00B50343" w:rsidRPr="00890A1B" w:rsidRDefault="00B50343" w:rsidP="00890A1B">
      <w:pPr>
        <w:pStyle w:val="NoSpacing"/>
        <w:rPr>
          <w:sz w:val="20"/>
          <w:szCs w:val="16"/>
        </w:rPr>
      </w:pPr>
    </w:p>
    <w:p w:rsidR="00E70E03" w:rsidRPr="00A43D47" w:rsidRDefault="003459E4" w:rsidP="00A43D47">
      <w:pPr>
        <w:pStyle w:val="NoSpacing"/>
        <w:jc w:val="center"/>
        <w:rPr>
          <w:b/>
          <w:sz w:val="24"/>
          <w:u w:val="single"/>
        </w:rPr>
      </w:pPr>
      <w:r w:rsidRPr="003459E4">
        <w:rPr>
          <w:b/>
          <w:sz w:val="24"/>
          <w:u w:val="single"/>
        </w:rPr>
        <w:t>Community Engagement Strategy</w:t>
      </w:r>
    </w:p>
    <w:p w:rsidR="00961CF0" w:rsidRPr="00961CF0" w:rsidRDefault="00961CF0" w:rsidP="009F20B5">
      <w:pPr>
        <w:pStyle w:val="NoSpacing"/>
        <w:jc w:val="both"/>
        <w:rPr>
          <w:sz w:val="24"/>
        </w:rPr>
      </w:pPr>
      <w:bookmarkStart w:id="0" w:name="one"/>
      <w:bookmarkEnd w:id="0"/>
      <w:r w:rsidRPr="00961CF0">
        <w:rPr>
          <w:sz w:val="24"/>
        </w:rPr>
        <w:t>1</w:t>
      </w:r>
      <w:r w:rsidRPr="00520308">
        <w:rPr>
          <w:b/>
          <w:sz w:val="24"/>
        </w:rPr>
        <w:t>.</w:t>
      </w:r>
      <w:r w:rsidR="003459E4" w:rsidRPr="00520308">
        <w:rPr>
          <w:b/>
          <w:sz w:val="24"/>
        </w:rPr>
        <w:t xml:space="preserve"> </w:t>
      </w:r>
      <w:r w:rsidRPr="00520308">
        <w:rPr>
          <w:b/>
          <w:sz w:val="24"/>
          <w:u w:val="single"/>
        </w:rPr>
        <w:t>Introduction</w:t>
      </w:r>
    </w:p>
    <w:p w:rsidR="00961CF0" w:rsidRPr="00961CF0" w:rsidRDefault="00B50343" w:rsidP="009F20B5">
      <w:pPr>
        <w:pStyle w:val="NoSpacing"/>
        <w:ind w:firstLine="720"/>
        <w:jc w:val="both"/>
        <w:rPr>
          <w:sz w:val="24"/>
        </w:rPr>
      </w:pPr>
      <w:r>
        <w:rPr>
          <w:sz w:val="24"/>
        </w:rPr>
        <w:t>Kentchurch</w:t>
      </w:r>
      <w:r w:rsidR="00961CF0" w:rsidRPr="00961CF0">
        <w:rPr>
          <w:sz w:val="24"/>
        </w:rPr>
        <w:t xml:space="preserve"> Parish Council has developed a community engagement strategy with the aim of constructing a standard for engagement with its residents and partners.</w:t>
      </w:r>
    </w:p>
    <w:p w:rsidR="00961CF0" w:rsidRPr="00961CF0" w:rsidRDefault="00961CF0" w:rsidP="009F20B5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It recognises that the services it provides must reflect the needs of its parishioners and the locality.</w:t>
      </w:r>
    </w:p>
    <w:p w:rsidR="00E70E03" w:rsidRPr="00A43D47" w:rsidRDefault="00705EAF" w:rsidP="00A43D47">
      <w:pPr>
        <w:pStyle w:val="NoSpacing"/>
        <w:ind w:firstLine="720"/>
        <w:jc w:val="both"/>
        <w:rPr>
          <w:sz w:val="24"/>
        </w:rPr>
      </w:pPr>
      <w:r>
        <w:rPr>
          <w:sz w:val="24"/>
        </w:rPr>
        <w:t>The</w:t>
      </w:r>
      <w:r w:rsidR="00961CF0" w:rsidRPr="00961CF0">
        <w:rPr>
          <w:sz w:val="24"/>
        </w:rPr>
        <w:t xml:space="preserve"> Parish Council strongly believes that its residents should be involved in decisions affecting them and their neighbourhood and in shaping the future of their parish.</w:t>
      </w:r>
    </w:p>
    <w:p w:rsidR="00961CF0" w:rsidRPr="00961CF0" w:rsidRDefault="00961CF0" w:rsidP="009F20B5">
      <w:pPr>
        <w:pStyle w:val="NoSpacing"/>
        <w:jc w:val="both"/>
        <w:rPr>
          <w:sz w:val="24"/>
        </w:rPr>
      </w:pPr>
      <w:bookmarkStart w:id="1" w:name="two"/>
      <w:bookmarkEnd w:id="1"/>
      <w:r w:rsidRPr="00961CF0">
        <w:rPr>
          <w:sz w:val="24"/>
        </w:rPr>
        <w:t xml:space="preserve">2. </w:t>
      </w:r>
      <w:r w:rsidR="00B20A11" w:rsidRPr="00336E57">
        <w:rPr>
          <w:sz w:val="24"/>
          <w:u w:val="single"/>
        </w:rPr>
        <w:t>Aims</w:t>
      </w:r>
    </w:p>
    <w:p w:rsidR="00E70E03" w:rsidRPr="00A43D47" w:rsidRDefault="00961CF0" w:rsidP="00A43D47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 xml:space="preserve">The aim of the strategy is to improve the way in which the </w:t>
      </w:r>
      <w:r w:rsidR="00B20A11">
        <w:rPr>
          <w:sz w:val="24"/>
        </w:rPr>
        <w:t xml:space="preserve">Parish </w:t>
      </w:r>
      <w:r w:rsidRPr="00961CF0">
        <w:rPr>
          <w:sz w:val="24"/>
        </w:rPr>
        <w:t>Council engages and consults its residents and partners on important issues by</w:t>
      </w:r>
      <w:r w:rsidR="00B20A11">
        <w:rPr>
          <w:sz w:val="24"/>
        </w:rPr>
        <w:t xml:space="preserve"> </w:t>
      </w:r>
      <w:r w:rsidRPr="00961CF0">
        <w:rPr>
          <w:sz w:val="24"/>
        </w:rPr>
        <w:t>informing, consulting and involving</w:t>
      </w:r>
      <w:r w:rsidR="00B20A11">
        <w:rPr>
          <w:sz w:val="24"/>
        </w:rPr>
        <w:t xml:space="preserve"> </w:t>
      </w:r>
      <w:r w:rsidRPr="00961CF0">
        <w:rPr>
          <w:sz w:val="24"/>
        </w:rPr>
        <w:t>being inclusive and engaging with all of its residents and partners</w:t>
      </w:r>
      <w:r w:rsidR="00B20A11">
        <w:rPr>
          <w:sz w:val="24"/>
        </w:rPr>
        <w:t xml:space="preserve"> </w:t>
      </w:r>
      <w:r w:rsidRPr="00961CF0">
        <w:rPr>
          <w:sz w:val="24"/>
        </w:rPr>
        <w:t>ensuring views are listened to and used to develop, enhance and improve services, the environment and the quality of life for residents.</w:t>
      </w:r>
    </w:p>
    <w:p w:rsidR="00961CF0" w:rsidRPr="00961CF0" w:rsidRDefault="00961CF0" w:rsidP="009F20B5">
      <w:pPr>
        <w:pStyle w:val="NoSpacing"/>
        <w:jc w:val="both"/>
        <w:rPr>
          <w:sz w:val="24"/>
        </w:rPr>
      </w:pPr>
      <w:bookmarkStart w:id="2" w:name="three"/>
      <w:bookmarkEnd w:id="2"/>
      <w:r w:rsidRPr="00961CF0">
        <w:rPr>
          <w:sz w:val="24"/>
        </w:rPr>
        <w:t xml:space="preserve">3. </w:t>
      </w:r>
      <w:r w:rsidR="00B20A11" w:rsidRPr="00336E57">
        <w:rPr>
          <w:sz w:val="24"/>
          <w:u w:val="single"/>
        </w:rPr>
        <w:t>Objectives</w:t>
      </w:r>
    </w:p>
    <w:p w:rsidR="00961CF0" w:rsidRPr="00961CF0" w:rsidRDefault="00961CF0" w:rsidP="009F20B5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To improve, plan and shape the future of the parish according to local needs and priorities</w:t>
      </w:r>
    </w:p>
    <w:p w:rsidR="00961CF0" w:rsidRPr="00961CF0" w:rsidRDefault="00961CF0" w:rsidP="009F20B5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To improve the quality and delivery of services</w:t>
      </w:r>
    </w:p>
    <w:p w:rsidR="00961CF0" w:rsidRPr="00961CF0" w:rsidRDefault="00961CF0" w:rsidP="009F20B5">
      <w:pPr>
        <w:pStyle w:val="NoSpacing"/>
        <w:ind w:left="720"/>
        <w:jc w:val="both"/>
        <w:rPr>
          <w:sz w:val="24"/>
        </w:rPr>
      </w:pPr>
      <w:r w:rsidRPr="00961CF0">
        <w:rPr>
          <w:sz w:val="24"/>
        </w:rPr>
        <w:t>To use engagement to inform decision making, ensuring decisions are fit for purpose and meet the needs of the parish</w:t>
      </w:r>
    </w:p>
    <w:p w:rsidR="00961CF0" w:rsidRPr="00961CF0" w:rsidRDefault="00B20A11" w:rsidP="009F20B5">
      <w:pPr>
        <w:pStyle w:val="NoSpacing"/>
        <w:ind w:firstLine="720"/>
        <w:jc w:val="both"/>
        <w:rPr>
          <w:sz w:val="24"/>
        </w:rPr>
      </w:pPr>
      <w:r>
        <w:rPr>
          <w:sz w:val="24"/>
        </w:rPr>
        <w:t>To enhance the well-being of the parish</w:t>
      </w:r>
    </w:p>
    <w:p w:rsidR="00E70E03" w:rsidRPr="00A43D47" w:rsidRDefault="00961CF0" w:rsidP="00A43D47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To be a stronger, more active and cohesive parish</w:t>
      </w:r>
    </w:p>
    <w:p w:rsidR="00961CF0" w:rsidRPr="00961CF0" w:rsidRDefault="00961CF0" w:rsidP="009F20B5">
      <w:pPr>
        <w:pStyle w:val="NoSpacing"/>
        <w:jc w:val="both"/>
        <w:rPr>
          <w:sz w:val="24"/>
        </w:rPr>
      </w:pPr>
      <w:bookmarkStart w:id="3" w:name="four"/>
      <w:bookmarkEnd w:id="3"/>
      <w:r w:rsidRPr="00961CF0">
        <w:rPr>
          <w:sz w:val="24"/>
        </w:rPr>
        <w:t xml:space="preserve">4. </w:t>
      </w:r>
      <w:r w:rsidR="00B20A11" w:rsidRPr="00336E57">
        <w:rPr>
          <w:sz w:val="24"/>
          <w:u w:val="single"/>
        </w:rPr>
        <w:t>H</w:t>
      </w:r>
      <w:r w:rsidR="00E70E03">
        <w:rPr>
          <w:sz w:val="24"/>
          <w:u w:val="single"/>
        </w:rPr>
        <w:t>ow this will be achie</w:t>
      </w:r>
      <w:r w:rsidR="00B20A11" w:rsidRPr="00336E57">
        <w:rPr>
          <w:sz w:val="24"/>
          <w:u w:val="single"/>
        </w:rPr>
        <w:t>ved</w:t>
      </w:r>
    </w:p>
    <w:p w:rsidR="00E70E03" w:rsidRPr="00A43D47" w:rsidRDefault="00961CF0" w:rsidP="00A43D47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Community engagement wi</w:t>
      </w:r>
      <w:r w:rsidR="00B20A11">
        <w:rPr>
          <w:sz w:val="24"/>
        </w:rPr>
        <w:t>ll be achieved by the</w:t>
      </w:r>
      <w:r w:rsidRPr="00961CF0">
        <w:rPr>
          <w:sz w:val="24"/>
        </w:rPr>
        <w:t xml:space="preserve"> Parish Council by communicating, consulting, supporting and working together with its residents.</w:t>
      </w:r>
    </w:p>
    <w:p w:rsidR="00961CF0" w:rsidRPr="00E70E03" w:rsidRDefault="00961CF0" w:rsidP="009F20B5">
      <w:pPr>
        <w:pStyle w:val="NoSpacing"/>
        <w:jc w:val="both"/>
        <w:rPr>
          <w:sz w:val="24"/>
          <w:u w:val="single"/>
        </w:rPr>
      </w:pPr>
      <w:r w:rsidRPr="00E70E03">
        <w:rPr>
          <w:sz w:val="24"/>
          <w:u w:val="single"/>
        </w:rPr>
        <w:t>Communication</w:t>
      </w:r>
    </w:p>
    <w:p w:rsidR="00961CF0" w:rsidRPr="00961CF0" w:rsidRDefault="00961CF0" w:rsidP="00053FD1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Communicating with members of the parish will be achieved in many ways to ensure all sections of the community are reached.</w:t>
      </w:r>
    </w:p>
    <w:p w:rsidR="00961CF0" w:rsidRPr="00961CF0" w:rsidRDefault="00CA6E24" w:rsidP="009F20B5">
      <w:pPr>
        <w:pStyle w:val="NoSpacing"/>
        <w:ind w:firstLine="720"/>
        <w:jc w:val="both"/>
        <w:rPr>
          <w:sz w:val="24"/>
        </w:rPr>
      </w:pPr>
      <w:r>
        <w:rPr>
          <w:sz w:val="24"/>
        </w:rPr>
        <w:t>The Kentchurch</w:t>
      </w:r>
      <w:r w:rsidR="00B20A11">
        <w:rPr>
          <w:sz w:val="24"/>
        </w:rPr>
        <w:t xml:space="preserve"> Newsletter</w:t>
      </w:r>
      <w:r w:rsidR="00961CF0" w:rsidRPr="00961CF0">
        <w:rPr>
          <w:sz w:val="24"/>
        </w:rPr>
        <w:t>, which is de</w:t>
      </w:r>
      <w:r w:rsidR="00B20A11">
        <w:rPr>
          <w:sz w:val="24"/>
        </w:rPr>
        <w:t>livered to every house in the parish</w:t>
      </w:r>
      <w:r w:rsidR="00961CF0" w:rsidRPr="00961CF0">
        <w:rPr>
          <w:sz w:val="24"/>
        </w:rPr>
        <w:t>, informs residents on important issues and will be developed as a medium for consultation and include articles from members of the parish on topical issues.</w:t>
      </w:r>
    </w:p>
    <w:p w:rsidR="00961CF0" w:rsidRPr="00961CF0" w:rsidRDefault="00961CF0" w:rsidP="009F20B5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 xml:space="preserve">The parish website has a wealth of local information </w:t>
      </w:r>
      <w:r w:rsidR="00B20A11">
        <w:rPr>
          <w:sz w:val="24"/>
        </w:rPr>
        <w:t>and is up</w:t>
      </w:r>
      <w:r w:rsidR="00520308">
        <w:rPr>
          <w:sz w:val="24"/>
        </w:rPr>
        <w:t xml:space="preserve">dated </w:t>
      </w:r>
      <w:r w:rsidR="00B20A11">
        <w:rPr>
          <w:sz w:val="24"/>
        </w:rPr>
        <w:t>regularly.</w:t>
      </w:r>
      <w:r w:rsidRPr="00961CF0">
        <w:rPr>
          <w:sz w:val="24"/>
        </w:rPr>
        <w:t xml:space="preserve"> Special events and important notices will </w:t>
      </w:r>
      <w:r w:rsidR="00B20A11">
        <w:rPr>
          <w:sz w:val="24"/>
        </w:rPr>
        <w:t>continue to be added regularly.</w:t>
      </w:r>
      <w:r w:rsidRPr="00961CF0">
        <w:rPr>
          <w:sz w:val="24"/>
        </w:rPr>
        <w:t xml:space="preserve"> All agendas are advertised as required under the Local Government Act</w:t>
      </w:r>
      <w:r w:rsidR="00B20A11">
        <w:rPr>
          <w:sz w:val="24"/>
        </w:rPr>
        <w:t xml:space="preserve"> 1972, including on the website</w:t>
      </w:r>
      <w:r w:rsidRPr="00961CF0">
        <w:rPr>
          <w:sz w:val="24"/>
        </w:rPr>
        <w:t xml:space="preserve"> and minutes of meetings are included on the website within a</w:t>
      </w:r>
      <w:r w:rsidR="00B20A11">
        <w:rPr>
          <w:sz w:val="24"/>
        </w:rPr>
        <w:t xml:space="preserve"> calendar month of the meeting.</w:t>
      </w:r>
      <w:r w:rsidRPr="00961CF0">
        <w:rPr>
          <w:sz w:val="24"/>
        </w:rPr>
        <w:t xml:space="preserve"> It may be possible to develop the website to include a forum or weblog, however, the potential for breach of security must first be explored.</w:t>
      </w:r>
    </w:p>
    <w:p w:rsidR="00961CF0" w:rsidRPr="00961CF0" w:rsidRDefault="00961CF0" w:rsidP="009F20B5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 xml:space="preserve">Information leaflets are </w:t>
      </w:r>
      <w:r w:rsidR="00B20A11">
        <w:rPr>
          <w:sz w:val="24"/>
        </w:rPr>
        <w:t>available from the Clerk</w:t>
      </w:r>
      <w:r w:rsidRPr="00961CF0">
        <w:rPr>
          <w:sz w:val="24"/>
        </w:rPr>
        <w:t xml:space="preserve"> and can also </w:t>
      </w:r>
      <w:r w:rsidR="00B20A11">
        <w:rPr>
          <w:sz w:val="24"/>
        </w:rPr>
        <w:t>be downloaded from the website.</w:t>
      </w:r>
      <w:r w:rsidRPr="00961CF0">
        <w:rPr>
          <w:sz w:val="24"/>
        </w:rPr>
        <w:t xml:space="preserve"> New leaflets will be added as necessary.</w:t>
      </w:r>
    </w:p>
    <w:p w:rsidR="00B20A11" w:rsidRDefault="00961CF0" w:rsidP="009F20B5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 xml:space="preserve">Meetings of the </w:t>
      </w:r>
      <w:r w:rsidR="00B20A11">
        <w:rPr>
          <w:sz w:val="24"/>
        </w:rPr>
        <w:t xml:space="preserve">Parish </w:t>
      </w:r>
      <w:r w:rsidRPr="00961CF0">
        <w:rPr>
          <w:sz w:val="24"/>
        </w:rPr>
        <w:t>Cou</w:t>
      </w:r>
      <w:r w:rsidR="00B20A11">
        <w:rPr>
          <w:sz w:val="24"/>
        </w:rPr>
        <w:t>ncil</w:t>
      </w:r>
      <w:r w:rsidRPr="00961CF0">
        <w:rPr>
          <w:sz w:val="24"/>
        </w:rPr>
        <w:t xml:space="preserve"> are open to the public and include an opportunity for members of the parish to eng</w:t>
      </w:r>
      <w:r w:rsidR="00B20A11">
        <w:rPr>
          <w:sz w:val="24"/>
        </w:rPr>
        <w:t>age with councillors.</w:t>
      </w:r>
    </w:p>
    <w:p w:rsidR="00E70E03" w:rsidRPr="00A43D47" w:rsidRDefault="00961CF0" w:rsidP="00A43D47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All</w:t>
      </w:r>
      <w:r w:rsidR="00B20A11">
        <w:rPr>
          <w:sz w:val="24"/>
        </w:rPr>
        <w:t xml:space="preserve"> meetings include an item</w:t>
      </w:r>
      <w:r w:rsidRPr="00961CF0">
        <w:rPr>
          <w:sz w:val="24"/>
        </w:rPr>
        <w:t xml:space="preserve"> for public partic</w:t>
      </w:r>
      <w:r w:rsidR="00B20A11">
        <w:rPr>
          <w:sz w:val="24"/>
        </w:rPr>
        <w:t>ipation for approximately 10 minutes.</w:t>
      </w:r>
    </w:p>
    <w:p w:rsidR="00961CF0" w:rsidRPr="00E70E03" w:rsidRDefault="00961CF0" w:rsidP="009F20B5">
      <w:pPr>
        <w:pStyle w:val="NoSpacing"/>
        <w:jc w:val="both"/>
        <w:rPr>
          <w:sz w:val="24"/>
          <w:u w:val="single"/>
        </w:rPr>
      </w:pPr>
      <w:r w:rsidRPr="00E70E03">
        <w:rPr>
          <w:sz w:val="24"/>
          <w:u w:val="single"/>
        </w:rPr>
        <w:t>Consultation</w:t>
      </w:r>
    </w:p>
    <w:p w:rsidR="00961CF0" w:rsidRPr="00961CF0" w:rsidRDefault="00961CF0" w:rsidP="00053FD1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Consulting all parishioners on important issu</w:t>
      </w:r>
      <w:r w:rsidR="00B20A11">
        <w:rPr>
          <w:sz w:val="24"/>
        </w:rPr>
        <w:t xml:space="preserve">es will be </w:t>
      </w:r>
      <w:proofErr w:type="gramStart"/>
      <w:r w:rsidR="00B20A11">
        <w:rPr>
          <w:sz w:val="24"/>
        </w:rPr>
        <w:t>key</w:t>
      </w:r>
      <w:proofErr w:type="gramEnd"/>
      <w:r w:rsidR="00B20A11">
        <w:rPr>
          <w:sz w:val="24"/>
        </w:rPr>
        <w:t xml:space="preserve"> to the strategy.</w:t>
      </w:r>
      <w:r w:rsidRPr="00961CF0">
        <w:rPr>
          <w:sz w:val="24"/>
        </w:rPr>
        <w:t xml:space="preserve"> It will ensure those most affected are able to put forward an opinion and given an opportunity to make a difference.</w:t>
      </w:r>
    </w:p>
    <w:p w:rsidR="00AC419A" w:rsidRPr="00E70E03" w:rsidRDefault="00961CF0" w:rsidP="00AC419A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lastRenderedPageBreak/>
        <w:t>Ensuring consultations include all members of the parish by identifying the hard to reach groups such as youths, the elderly, the house</w:t>
      </w:r>
      <w:r w:rsidR="00DD196D">
        <w:rPr>
          <w:sz w:val="24"/>
        </w:rPr>
        <w:t>-</w:t>
      </w:r>
      <w:r w:rsidRPr="00961CF0">
        <w:rPr>
          <w:sz w:val="24"/>
        </w:rPr>
        <w:t>bound, the disab</w:t>
      </w:r>
      <w:r w:rsidR="00B20A11">
        <w:rPr>
          <w:sz w:val="24"/>
        </w:rPr>
        <w:t xml:space="preserve">led, ethnic minorities etc. may </w:t>
      </w:r>
      <w:r w:rsidRPr="00961CF0">
        <w:rPr>
          <w:sz w:val="24"/>
        </w:rPr>
        <w:t>requ</w:t>
      </w:r>
      <w:r w:rsidR="00B20A11">
        <w:rPr>
          <w:sz w:val="24"/>
        </w:rPr>
        <w:t xml:space="preserve">ire establishing </w:t>
      </w:r>
      <w:r w:rsidRPr="00961CF0">
        <w:rPr>
          <w:sz w:val="24"/>
        </w:rPr>
        <w:t>different engagement channels for them.</w:t>
      </w:r>
    </w:p>
    <w:p w:rsidR="00961CF0" w:rsidRPr="00E70E03" w:rsidRDefault="00961CF0" w:rsidP="009F20B5">
      <w:pPr>
        <w:pStyle w:val="NoSpacing"/>
        <w:jc w:val="both"/>
        <w:rPr>
          <w:sz w:val="24"/>
          <w:u w:val="single"/>
        </w:rPr>
      </w:pPr>
      <w:r w:rsidRPr="00E70E03">
        <w:rPr>
          <w:sz w:val="24"/>
          <w:u w:val="single"/>
        </w:rPr>
        <w:t>Support</w:t>
      </w:r>
    </w:p>
    <w:p w:rsidR="00961CF0" w:rsidRPr="00961CF0" w:rsidRDefault="00961CF0" w:rsidP="00053FD1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Supporting local organisations and engaging with them will assist them in meeting their own aims and objectives.</w:t>
      </w:r>
    </w:p>
    <w:p w:rsidR="00961CF0" w:rsidRPr="00961CF0" w:rsidRDefault="00961CF0" w:rsidP="00053FD1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Supporting local projects and participating in local events will raise the awareness of the Council and its aims and objectives.</w:t>
      </w:r>
    </w:p>
    <w:p w:rsidR="00E70E03" w:rsidRPr="00A43D47" w:rsidRDefault="00961CF0" w:rsidP="00A43D47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Supporting members of the parish in shaping the future of their parish will bring about a more cohesive community.</w:t>
      </w:r>
    </w:p>
    <w:p w:rsidR="00961CF0" w:rsidRPr="00E70E03" w:rsidRDefault="00961CF0" w:rsidP="009F20B5">
      <w:pPr>
        <w:pStyle w:val="NoSpacing"/>
        <w:jc w:val="both"/>
        <w:rPr>
          <w:sz w:val="24"/>
          <w:u w:val="single"/>
        </w:rPr>
      </w:pPr>
      <w:r w:rsidRPr="00E70E03">
        <w:rPr>
          <w:sz w:val="24"/>
          <w:u w:val="single"/>
        </w:rPr>
        <w:t>Acting Together</w:t>
      </w:r>
    </w:p>
    <w:p w:rsidR="00961CF0" w:rsidRPr="00961CF0" w:rsidRDefault="00961CF0" w:rsidP="00053FD1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 xml:space="preserve">Acting together with residents and partners in finding solutions to local problems will ensure they will be accepted and fit for purpose. </w:t>
      </w:r>
    </w:p>
    <w:p w:rsidR="00961CF0" w:rsidRPr="00961CF0" w:rsidRDefault="00961CF0" w:rsidP="00053FD1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 xml:space="preserve">Acting together to carry out agreed action plans, will engage the community in working with the </w:t>
      </w:r>
      <w:r w:rsidR="00053FD1">
        <w:rPr>
          <w:sz w:val="24"/>
        </w:rPr>
        <w:t xml:space="preserve">Parish </w:t>
      </w:r>
      <w:r w:rsidRPr="00961CF0">
        <w:rPr>
          <w:sz w:val="24"/>
        </w:rPr>
        <w:t>Council to enhance the environments and the quality of their lives.</w:t>
      </w:r>
    </w:p>
    <w:p w:rsidR="00E70E03" w:rsidRPr="00A43D47" w:rsidRDefault="00961CF0" w:rsidP="00A43D47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Acting together in decision making and policy drafting will ensure they have a voice and can make a difference.</w:t>
      </w:r>
    </w:p>
    <w:p w:rsidR="00961CF0" w:rsidRPr="00961CF0" w:rsidRDefault="00961CF0" w:rsidP="009F20B5">
      <w:pPr>
        <w:pStyle w:val="NoSpacing"/>
        <w:jc w:val="both"/>
        <w:rPr>
          <w:sz w:val="24"/>
        </w:rPr>
      </w:pPr>
      <w:bookmarkStart w:id="4" w:name="five"/>
      <w:bookmarkEnd w:id="4"/>
      <w:r w:rsidRPr="00961CF0">
        <w:rPr>
          <w:sz w:val="24"/>
        </w:rPr>
        <w:t xml:space="preserve">5. </w:t>
      </w:r>
      <w:r w:rsidR="00053FD1" w:rsidRPr="00336E57">
        <w:rPr>
          <w:sz w:val="24"/>
          <w:u w:val="single"/>
        </w:rPr>
        <w:t>Measuring Success</w:t>
      </w:r>
    </w:p>
    <w:p w:rsidR="00E70E03" w:rsidRPr="00A43D47" w:rsidRDefault="00961CF0" w:rsidP="00A43D47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Success will be measured by predefined targets, including annual reviews of consultation outcomes, monitoring residents’ participation in consultation processes and increases in their involvement in local projects and events.</w:t>
      </w:r>
    </w:p>
    <w:p w:rsidR="00961CF0" w:rsidRPr="00961CF0" w:rsidRDefault="00961CF0" w:rsidP="009F20B5">
      <w:pPr>
        <w:pStyle w:val="NoSpacing"/>
        <w:jc w:val="both"/>
        <w:rPr>
          <w:sz w:val="24"/>
        </w:rPr>
      </w:pPr>
      <w:bookmarkStart w:id="5" w:name="six"/>
      <w:bookmarkEnd w:id="5"/>
      <w:r w:rsidRPr="00961CF0">
        <w:rPr>
          <w:sz w:val="24"/>
        </w:rPr>
        <w:t xml:space="preserve">6. </w:t>
      </w:r>
      <w:r w:rsidR="00053FD1" w:rsidRPr="00336E57">
        <w:rPr>
          <w:sz w:val="24"/>
          <w:u w:val="single"/>
        </w:rPr>
        <w:t>Strategy Reviews</w:t>
      </w:r>
    </w:p>
    <w:p w:rsidR="00E70E03" w:rsidRPr="00A43D47" w:rsidRDefault="00961CF0" w:rsidP="00A43D47">
      <w:pPr>
        <w:pStyle w:val="NoSpacing"/>
        <w:ind w:firstLine="720"/>
        <w:jc w:val="both"/>
        <w:rPr>
          <w:sz w:val="24"/>
        </w:rPr>
      </w:pPr>
      <w:r w:rsidRPr="00961CF0">
        <w:rPr>
          <w:sz w:val="24"/>
        </w:rPr>
        <w:t>Annual reviews of the consultation processes and results will be used as a continual improvement process for change</w:t>
      </w:r>
      <w:r w:rsidR="00053FD1">
        <w:rPr>
          <w:sz w:val="24"/>
        </w:rPr>
        <w:t>s or amendments to the strategy.</w:t>
      </w:r>
    </w:p>
    <w:p w:rsidR="00961CF0" w:rsidRDefault="00961CF0" w:rsidP="009F20B5">
      <w:pPr>
        <w:pStyle w:val="NoSpacing"/>
        <w:jc w:val="both"/>
        <w:rPr>
          <w:sz w:val="24"/>
          <w:u w:val="single"/>
        </w:rPr>
      </w:pPr>
      <w:bookmarkStart w:id="6" w:name="seven"/>
      <w:bookmarkEnd w:id="6"/>
      <w:r w:rsidRPr="00961CF0">
        <w:rPr>
          <w:sz w:val="24"/>
        </w:rPr>
        <w:t xml:space="preserve">7. </w:t>
      </w:r>
      <w:r w:rsidR="00053FD1" w:rsidRPr="00336E57">
        <w:rPr>
          <w:sz w:val="24"/>
          <w:u w:val="single"/>
        </w:rPr>
        <w:t>Action Plan</w:t>
      </w:r>
    </w:p>
    <w:p w:rsidR="00E70E03" w:rsidRPr="00A43D47" w:rsidRDefault="00E70E03" w:rsidP="009F20B5">
      <w:pPr>
        <w:pStyle w:val="NoSpacing"/>
        <w:jc w:val="both"/>
        <w:rPr>
          <w:sz w:val="2"/>
          <w:szCs w:val="16"/>
        </w:rPr>
      </w:pPr>
    </w:p>
    <w:p w:rsidR="00961CF0" w:rsidRPr="00E70E03" w:rsidRDefault="00961CF0" w:rsidP="009F20B5">
      <w:pPr>
        <w:pStyle w:val="NoSpacing"/>
        <w:rPr>
          <w:sz w:val="2"/>
          <w:szCs w:val="16"/>
        </w:rPr>
      </w:pPr>
    </w:p>
    <w:tbl>
      <w:tblPr>
        <w:tblW w:w="10553" w:type="dxa"/>
        <w:tblCellSpacing w:w="0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57"/>
        <w:gridCol w:w="3827"/>
        <w:gridCol w:w="3969"/>
      </w:tblGrid>
      <w:tr w:rsidR="00961CF0" w:rsidRPr="00961CF0" w:rsidTr="00E70E03">
        <w:trPr>
          <w:tblCellSpacing w:w="0" w:type="dxa"/>
        </w:trPr>
        <w:tc>
          <w:tcPr>
            <w:tcW w:w="10553" w:type="dxa"/>
            <w:gridSpan w:val="3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ACTION PLAN</w:t>
            </w:r>
          </w:p>
        </w:tc>
      </w:tr>
      <w:tr w:rsidR="00961CF0" w:rsidRPr="00961CF0" w:rsidTr="00E70E03">
        <w:trPr>
          <w:tblCellSpacing w:w="0" w:type="dxa"/>
        </w:trPr>
        <w:tc>
          <w:tcPr>
            <w:tcW w:w="275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Activity</w:t>
            </w:r>
          </w:p>
        </w:tc>
        <w:tc>
          <w:tcPr>
            <w:tcW w:w="382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Action</w:t>
            </w:r>
          </w:p>
        </w:tc>
        <w:tc>
          <w:tcPr>
            <w:tcW w:w="396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Statement</w:t>
            </w:r>
          </w:p>
        </w:tc>
      </w:tr>
      <w:tr w:rsidR="00961CF0" w:rsidRPr="00961CF0" w:rsidTr="00E70E03">
        <w:trPr>
          <w:tblCellSpacing w:w="0" w:type="dxa"/>
        </w:trPr>
        <w:tc>
          <w:tcPr>
            <w:tcW w:w="275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053FD1" w:rsidP="009F20B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Raise awareness of consultation processes</w:t>
            </w:r>
          </w:p>
        </w:tc>
        <w:tc>
          <w:tcPr>
            <w:tcW w:w="382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P</w:t>
            </w:r>
            <w:r w:rsidR="00053FD1">
              <w:rPr>
                <w:sz w:val="24"/>
              </w:rPr>
              <w:t>romote it through Newsletter, the Website, local media</w:t>
            </w:r>
          </w:p>
        </w:tc>
        <w:tc>
          <w:tcPr>
            <w:tcW w:w="396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053FD1" w:rsidP="009F20B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Promoting the strategy will be</w:t>
            </w:r>
            <w:r w:rsidR="00961CF0" w:rsidRPr="00961CF0">
              <w:rPr>
                <w:sz w:val="24"/>
              </w:rPr>
              <w:t xml:space="preserve"> an on</w:t>
            </w:r>
            <w:r>
              <w:rPr>
                <w:sz w:val="24"/>
              </w:rPr>
              <w:t>-going priority</w:t>
            </w:r>
          </w:p>
        </w:tc>
      </w:tr>
      <w:tr w:rsidR="00961CF0" w:rsidRPr="00961CF0" w:rsidTr="00E70E03">
        <w:trPr>
          <w:tblCellSpacing w:w="0" w:type="dxa"/>
        </w:trPr>
        <w:tc>
          <w:tcPr>
            <w:tcW w:w="275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Investigate setting a website consultation or forum facility</w:t>
            </w:r>
          </w:p>
        </w:tc>
        <w:tc>
          <w:tcPr>
            <w:tcW w:w="382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053FD1" w:rsidRDefault="00053FD1" w:rsidP="009F20B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Investigate the</w:t>
            </w:r>
          </w:p>
          <w:p w:rsidR="00961CF0" w:rsidRPr="00961CF0" w:rsidRDefault="00053FD1" w:rsidP="009F20B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possibility, </w:t>
            </w:r>
            <w:r w:rsidR="00961CF0" w:rsidRPr="00961CF0">
              <w:rPr>
                <w:sz w:val="24"/>
              </w:rPr>
              <w:t>usefulness and di</w:t>
            </w:r>
            <w:r>
              <w:rPr>
                <w:sz w:val="24"/>
              </w:rPr>
              <w:t>sadvantages of such a facility</w:t>
            </w:r>
          </w:p>
        </w:tc>
        <w:tc>
          <w:tcPr>
            <w:tcW w:w="396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Access levels to the website could be a serious security issue an</w:t>
            </w:r>
            <w:r w:rsidR="00053FD1">
              <w:rPr>
                <w:sz w:val="24"/>
              </w:rPr>
              <w:t>d must be thoroughly researched</w:t>
            </w:r>
          </w:p>
        </w:tc>
      </w:tr>
      <w:tr w:rsidR="00961CF0" w:rsidRPr="00961CF0" w:rsidTr="00E70E03">
        <w:trPr>
          <w:tblCellSpacing w:w="0" w:type="dxa"/>
        </w:trPr>
        <w:tc>
          <w:tcPr>
            <w:tcW w:w="275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Work with Police and Partner Authorities</w:t>
            </w:r>
          </w:p>
        </w:tc>
        <w:tc>
          <w:tcPr>
            <w:tcW w:w="382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Strengthen existing partners</w:t>
            </w:r>
            <w:r w:rsidR="00053FD1">
              <w:rPr>
                <w:sz w:val="24"/>
              </w:rPr>
              <w:t>hips and develop new ones</w:t>
            </w:r>
          </w:p>
        </w:tc>
        <w:tc>
          <w:tcPr>
            <w:tcW w:w="396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 xml:space="preserve">Working with partners is already a </w:t>
            </w:r>
            <w:r w:rsidR="00053FD1">
              <w:rPr>
                <w:sz w:val="24"/>
              </w:rPr>
              <w:t>priority</w:t>
            </w:r>
          </w:p>
        </w:tc>
      </w:tr>
      <w:tr w:rsidR="00961CF0" w:rsidRPr="00961CF0" w:rsidTr="00E70E03">
        <w:trPr>
          <w:tblCellSpacing w:w="0" w:type="dxa"/>
        </w:trPr>
        <w:tc>
          <w:tcPr>
            <w:tcW w:w="275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Identify minority/hard to reach groups</w:t>
            </w:r>
          </w:p>
        </w:tc>
        <w:tc>
          <w:tcPr>
            <w:tcW w:w="382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Identify these groups and identify channe</w:t>
            </w:r>
            <w:r w:rsidR="00053FD1">
              <w:rPr>
                <w:sz w:val="24"/>
              </w:rPr>
              <w:t>ls of contact and consultation</w:t>
            </w:r>
          </w:p>
        </w:tc>
        <w:tc>
          <w:tcPr>
            <w:tcW w:w="396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These grou</w:t>
            </w:r>
            <w:r w:rsidR="00053FD1">
              <w:rPr>
                <w:sz w:val="24"/>
              </w:rPr>
              <w:t>ps are often the forgotten few.</w:t>
            </w:r>
            <w:r w:rsidRPr="00961CF0">
              <w:rPr>
                <w:sz w:val="24"/>
              </w:rPr>
              <w:t xml:space="preserve"> Identifying them will ensure they are inclu</w:t>
            </w:r>
            <w:r w:rsidR="00053FD1">
              <w:rPr>
                <w:sz w:val="24"/>
              </w:rPr>
              <w:t>ded in consultation processes</w:t>
            </w:r>
          </w:p>
        </w:tc>
      </w:tr>
      <w:tr w:rsidR="00961CF0" w:rsidRPr="00961CF0" w:rsidTr="00E70E03">
        <w:trPr>
          <w:tblCellSpacing w:w="0" w:type="dxa"/>
        </w:trPr>
        <w:tc>
          <w:tcPr>
            <w:tcW w:w="275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Identify consultation/focus groups</w:t>
            </w:r>
          </w:p>
        </w:tc>
        <w:tc>
          <w:tcPr>
            <w:tcW w:w="382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Identify members of the parish with specific skills who can be consulted on specialist subjects.</w:t>
            </w:r>
          </w:p>
          <w:p w:rsidR="00961CF0" w:rsidRPr="00961CF0" w:rsidRDefault="00053FD1" w:rsidP="009F20B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Identify members of the parish </w:t>
            </w:r>
            <w:r w:rsidR="00961CF0" w:rsidRPr="00961CF0">
              <w:rPr>
                <w:sz w:val="24"/>
              </w:rPr>
              <w:t>wi</w:t>
            </w:r>
            <w:r>
              <w:rPr>
                <w:sz w:val="24"/>
              </w:rPr>
              <w:t>lling to be included in surveys</w:t>
            </w:r>
          </w:p>
        </w:tc>
        <w:tc>
          <w:tcPr>
            <w:tcW w:w="396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This will enable smaller consultations to be initiated where specialist advice is required to inform decision making.</w:t>
            </w:r>
          </w:p>
          <w:p w:rsidR="00961CF0" w:rsidRPr="00961CF0" w:rsidRDefault="00053FD1" w:rsidP="009F20B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</w:t>
            </w:r>
            <w:r w:rsidR="00961CF0" w:rsidRPr="00961CF0">
              <w:rPr>
                <w:sz w:val="24"/>
              </w:rPr>
              <w:t xml:space="preserve">urveys are a useful tool to judge general opinions without the need </w:t>
            </w:r>
            <w:r>
              <w:rPr>
                <w:sz w:val="24"/>
              </w:rPr>
              <w:t>for a full consultation process</w:t>
            </w:r>
          </w:p>
        </w:tc>
      </w:tr>
      <w:tr w:rsidR="00961CF0" w:rsidRPr="00961CF0" w:rsidTr="00E70E03">
        <w:trPr>
          <w:tblCellSpacing w:w="0" w:type="dxa"/>
        </w:trPr>
        <w:tc>
          <w:tcPr>
            <w:tcW w:w="275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Identify consultation needs, priorities and importance</w:t>
            </w:r>
          </w:p>
        </w:tc>
        <w:tc>
          <w:tcPr>
            <w:tcW w:w="382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Establish need, priorities and importance of consultation</w:t>
            </w:r>
          </w:p>
        </w:tc>
        <w:tc>
          <w:tcPr>
            <w:tcW w:w="396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E70E03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This wi</w:t>
            </w:r>
            <w:r w:rsidR="00053FD1">
              <w:rPr>
                <w:sz w:val="24"/>
              </w:rPr>
              <w:t>ll ensure there is no overkill,</w:t>
            </w:r>
            <w:r w:rsidRPr="00961CF0">
              <w:rPr>
                <w:sz w:val="24"/>
              </w:rPr>
              <w:t xml:space="preserve"> overlap or mis</w:t>
            </w:r>
            <w:r w:rsidR="00053FD1">
              <w:rPr>
                <w:sz w:val="24"/>
              </w:rPr>
              <w:t>use of the consultation process</w:t>
            </w:r>
          </w:p>
        </w:tc>
      </w:tr>
      <w:tr w:rsidR="00961CF0" w:rsidRPr="00961CF0" w:rsidTr="00E70E03">
        <w:trPr>
          <w:tblCellSpacing w:w="0" w:type="dxa"/>
        </w:trPr>
        <w:tc>
          <w:tcPr>
            <w:tcW w:w="275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Identify benefits of consultation</w:t>
            </w:r>
          </w:p>
        </w:tc>
        <w:tc>
          <w:tcPr>
            <w:tcW w:w="382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Identify whether there is a real opportunity fo</w:t>
            </w:r>
            <w:r w:rsidR="00053FD1">
              <w:rPr>
                <w:sz w:val="24"/>
              </w:rPr>
              <w:t xml:space="preserve">r people to </w:t>
            </w:r>
            <w:r w:rsidR="00053FD1">
              <w:rPr>
                <w:sz w:val="24"/>
              </w:rPr>
              <w:lastRenderedPageBreak/>
              <w:t>influence decisions</w:t>
            </w:r>
          </w:p>
        </w:tc>
        <w:tc>
          <w:tcPr>
            <w:tcW w:w="396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6C5B1D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lastRenderedPageBreak/>
              <w:t xml:space="preserve">No consultation should be undertaken unless </w:t>
            </w:r>
            <w:r w:rsidR="00053FD1">
              <w:rPr>
                <w:sz w:val="24"/>
              </w:rPr>
              <w:t xml:space="preserve">the outcome can </w:t>
            </w:r>
            <w:r w:rsidR="00053FD1">
              <w:rPr>
                <w:sz w:val="24"/>
              </w:rPr>
              <w:lastRenderedPageBreak/>
              <w:t xml:space="preserve">be influenced. </w:t>
            </w:r>
            <w:r w:rsidRPr="00961CF0">
              <w:rPr>
                <w:sz w:val="24"/>
              </w:rPr>
              <w:t>Unless this is possible a consultation wil</w:t>
            </w:r>
            <w:r w:rsidR="00053FD1">
              <w:rPr>
                <w:sz w:val="24"/>
              </w:rPr>
              <w:t xml:space="preserve">l be meaningless and residents </w:t>
            </w:r>
            <w:r w:rsidRPr="00961CF0">
              <w:rPr>
                <w:sz w:val="24"/>
              </w:rPr>
              <w:t>will beco</w:t>
            </w:r>
            <w:r w:rsidR="00053FD1">
              <w:rPr>
                <w:sz w:val="24"/>
              </w:rPr>
              <w:t>me disinterested in the process</w:t>
            </w:r>
          </w:p>
        </w:tc>
      </w:tr>
      <w:tr w:rsidR="00961CF0" w:rsidRPr="00961CF0" w:rsidTr="00E70E03">
        <w:trPr>
          <w:tblCellSpacing w:w="0" w:type="dxa"/>
        </w:trPr>
        <w:tc>
          <w:tcPr>
            <w:tcW w:w="275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lastRenderedPageBreak/>
              <w:t>Feedback on consultations</w:t>
            </w:r>
          </w:p>
        </w:tc>
        <w:tc>
          <w:tcPr>
            <w:tcW w:w="382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A43D47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Agree methods of feedback to residents and partners and ensure this is adhered to and includes details o</w:t>
            </w:r>
            <w:r w:rsidR="00053FD1">
              <w:rPr>
                <w:sz w:val="24"/>
              </w:rPr>
              <w:t xml:space="preserve">f the use of information </w:t>
            </w:r>
          </w:p>
          <w:p w:rsidR="00961CF0" w:rsidRPr="00961CF0" w:rsidRDefault="00053FD1" w:rsidP="009F20B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gained</w:t>
            </w:r>
          </w:p>
        </w:tc>
        <w:tc>
          <w:tcPr>
            <w:tcW w:w="396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This will keep all parties involved in the process</w:t>
            </w:r>
            <w:r w:rsidR="00053FD1">
              <w:rPr>
                <w:sz w:val="24"/>
              </w:rPr>
              <w:t xml:space="preserve"> and updated with the situation</w:t>
            </w:r>
          </w:p>
        </w:tc>
      </w:tr>
      <w:tr w:rsidR="00961CF0" w:rsidRPr="00961CF0" w:rsidTr="00E70E03">
        <w:trPr>
          <w:tblCellSpacing w:w="0" w:type="dxa"/>
        </w:trPr>
        <w:tc>
          <w:tcPr>
            <w:tcW w:w="275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Ensure outcomes of consultations are used to inform decisions and policies</w:t>
            </w:r>
          </w:p>
        </w:tc>
        <w:tc>
          <w:tcPr>
            <w:tcW w:w="382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Use the outcome of consultations to inform dec</w:t>
            </w:r>
            <w:r w:rsidR="00053FD1">
              <w:rPr>
                <w:sz w:val="24"/>
              </w:rPr>
              <w:t>ision making and shape policies</w:t>
            </w:r>
          </w:p>
        </w:tc>
        <w:tc>
          <w:tcPr>
            <w:tcW w:w="396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All consultations will be undertaken to judge the best possible outcome for parishioners,</w:t>
            </w:r>
            <w:r w:rsidR="00053FD1">
              <w:rPr>
                <w:sz w:val="24"/>
              </w:rPr>
              <w:t xml:space="preserve"> locality and the environment</w:t>
            </w:r>
          </w:p>
        </w:tc>
      </w:tr>
      <w:tr w:rsidR="00961CF0" w:rsidRPr="00961CF0" w:rsidTr="00E70E03">
        <w:trPr>
          <w:tblCellSpacing w:w="0" w:type="dxa"/>
        </w:trPr>
        <w:tc>
          <w:tcPr>
            <w:tcW w:w="275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Review outcome of key consultations</w:t>
            </w:r>
          </w:p>
        </w:tc>
        <w:tc>
          <w:tcPr>
            <w:tcW w:w="3827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Review consultation outcomes annually to highlight</w:t>
            </w:r>
            <w:r w:rsidR="00053FD1">
              <w:rPr>
                <w:sz w:val="24"/>
              </w:rPr>
              <w:t xml:space="preserve"> any failings in the processes</w:t>
            </w:r>
          </w:p>
        </w:tc>
        <w:tc>
          <w:tcPr>
            <w:tcW w:w="396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961CF0" w:rsidRPr="00961CF0" w:rsidRDefault="00961CF0" w:rsidP="009F20B5">
            <w:pPr>
              <w:pStyle w:val="NoSpacing"/>
              <w:rPr>
                <w:sz w:val="24"/>
              </w:rPr>
            </w:pPr>
            <w:r w:rsidRPr="00961CF0">
              <w:rPr>
                <w:sz w:val="24"/>
              </w:rPr>
              <w:t>This will enable identification of any changes and amend</w:t>
            </w:r>
            <w:r w:rsidR="00053FD1">
              <w:rPr>
                <w:sz w:val="24"/>
              </w:rPr>
              <w:t>ments required to the strategy</w:t>
            </w:r>
          </w:p>
        </w:tc>
      </w:tr>
    </w:tbl>
    <w:p w:rsidR="002926D3" w:rsidRPr="00A43D47" w:rsidRDefault="002926D3" w:rsidP="009F20B5">
      <w:pPr>
        <w:pStyle w:val="NoSpacing"/>
        <w:rPr>
          <w:sz w:val="16"/>
          <w:szCs w:val="16"/>
        </w:rPr>
      </w:pPr>
    </w:p>
    <w:p w:rsidR="002926D3" w:rsidRPr="00A43D47" w:rsidRDefault="002926D3" w:rsidP="002926D3">
      <w:pPr>
        <w:pStyle w:val="NoSpacing"/>
        <w:jc w:val="both"/>
        <w:rPr>
          <w:sz w:val="16"/>
          <w:szCs w:val="16"/>
        </w:rPr>
      </w:pPr>
    </w:p>
    <w:p w:rsidR="002926D3" w:rsidRDefault="002926D3" w:rsidP="002926D3">
      <w:pPr>
        <w:pStyle w:val="NoSpacing"/>
        <w:jc w:val="both"/>
      </w:pPr>
      <w:r>
        <w:t>Parish Council</w:t>
      </w:r>
      <w:r w:rsidR="00CA544D">
        <w:t>lor</w:t>
      </w:r>
      <w:r>
        <w:t xml:space="preserve"> Chairman</w:t>
      </w:r>
      <w:r w:rsidR="00CA6E24">
        <w:t xml:space="preserve"> Mr John L Pring</w:t>
      </w:r>
    </w:p>
    <w:p w:rsidR="002926D3" w:rsidRDefault="002926D3" w:rsidP="002926D3">
      <w:pPr>
        <w:pStyle w:val="NoSpacing"/>
        <w:jc w:val="both"/>
        <w:rPr>
          <w:sz w:val="24"/>
        </w:rPr>
      </w:pPr>
    </w:p>
    <w:p w:rsidR="005F4E26" w:rsidRDefault="005F4E26" w:rsidP="002926D3">
      <w:pPr>
        <w:pStyle w:val="NoSpacing"/>
        <w:jc w:val="both"/>
        <w:rPr>
          <w:sz w:val="24"/>
        </w:rPr>
      </w:pPr>
    </w:p>
    <w:p w:rsidR="005F4E26" w:rsidRPr="005F4E26" w:rsidRDefault="005F4E26" w:rsidP="002926D3">
      <w:pPr>
        <w:pStyle w:val="NoSpacing"/>
        <w:jc w:val="both"/>
      </w:pPr>
      <w:r w:rsidRPr="005F4E26">
        <w:t>Signed</w:t>
      </w:r>
      <w:r>
        <w:t>……………………………………………………..</w:t>
      </w:r>
    </w:p>
    <w:p w:rsidR="002926D3" w:rsidRDefault="002926D3" w:rsidP="005F4E26">
      <w:pPr>
        <w:pStyle w:val="NoSpacing"/>
        <w:jc w:val="right"/>
      </w:pPr>
      <w:r>
        <w:t>Dat</w:t>
      </w:r>
      <w:r w:rsidR="005F4E26">
        <w:t xml:space="preserve">e </w:t>
      </w:r>
      <w:r w:rsidR="00885520">
        <w:t>20</w:t>
      </w:r>
      <w:r w:rsidR="00885520" w:rsidRPr="00885520">
        <w:rPr>
          <w:vertAlign w:val="superscript"/>
        </w:rPr>
        <w:t>th</w:t>
      </w:r>
      <w:r w:rsidR="00885520">
        <w:t xml:space="preserve"> </w:t>
      </w:r>
      <w:bookmarkStart w:id="7" w:name="_GoBack"/>
      <w:bookmarkEnd w:id="7"/>
      <w:r>
        <w:t>July 2016</w:t>
      </w:r>
    </w:p>
    <w:p w:rsidR="002926D3" w:rsidRPr="00053FD1" w:rsidRDefault="002926D3" w:rsidP="009F20B5">
      <w:pPr>
        <w:pStyle w:val="NoSpacing"/>
        <w:rPr>
          <w:sz w:val="16"/>
          <w:szCs w:val="16"/>
        </w:rPr>
      </w:pPr>
    </w:p>
    <w:sectPr w:rsidR="002926D3" w:rsidRPr="00053FD1" w:rsidSect="00CA6E24">
      <w:foot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A4" w:rsidRDefault="00784AA4" w:rsidP="002041C7">
      <w:pPr>
        <w:spacing w:after="0" w:line="240" w:lineRule="auto"/>
      </w:pPr>
      <w:r>
        <w:separator/>
      </w:r>
    </w:p>
  </w:endnote>
  <w:endnote w:type="continuationSeparator" w:id="0">
    <w:p w:rsidR="00784AA4" w:rsidRDefault="00784AA4" w:rsidP="0020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1C7" w:rsidRPr="002041C7" w:rsidRDefault="00CA6E24">
    <w:pPr>
      <w:pStyle w:val="Footer"/>
      <w:rPr>
        <w:i/>
        <w:sz w:val="24"/>
      </w:rPr>
    </w:pPr>
    <w:r>
      <w:rPr>
        <w:i/>
        <w:sz w:val="24"/>
      </w:rPr>
      <w:t>Kentchurch</w:t>
    </w:r>
    <w:r w:rsidR="0018249F">
      <w:rPr>
        <w:i/>
        <w:sz w:val="24"/>
      </w:rPr>
      <w:t xml:space="preserve"> Parish Council </w:t>
    </w:r>
    <w:r w:rsidR="002041C7" w:rsidRPr="002041C7">
      <w:rPr>
        <w:i/>
        <w:sz w:val="24"/>
      </w:rPr>
      <w:t>Community Engagement Strategy July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A4" w:rsidRDefault="00784AA4" w:rsidP="002041C7">
      <w:pPr>
        <w:spacing w:after="0" w:line="240" w:lineRule="auto"/>
      </w:pPr>
      <w:r>
        <w:separator/>
      </w:r>
    </w:p>
  </w:footnote>
  <w:footnote w:type="continuationSeparator" w:id="0">
    <w:p w:rsidR="00784AA4" w:rsidRDefault="00784AA4" w:rsidP="0020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FCD"/>
    <w:multiLevelType w:val="multilevel"/>
    <w:tmpl w:val="5E04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F1712"/>
    <w:multiLevelType w:val="multilevel"/>
    <w:tmpl w:val="8F46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A70CD"/>
    <w:multiLevelType w:val="multilevel"/>
    <w:tmpl w:val="8FF8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3479C"/>
    <w:multiLevelType w:val="multilevel"/>
    <w:tmpl w:val="04B4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651D9"/>
    <w:multiLevelType w:val="multilevel"/>
    <w:tmpl w:val="78B8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955F7"/>
    <w:multiLevelType w:val="multilevel"/>
    <w:tmpl w:val="4A5E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B5003"/>
    <w:multiLevelType w:val="multilevel"/>
    <w:tmpl w:val="995E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A7E6F"/>
    <w:multiLevelType w:val="multilevel"/>
    <w:tmpl w:val="7DEA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A61D8"/>
    <w:multiLevelType w:val="multilevel"/>
    <w:tmpl w:val="B1C8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662E1"/>
    <w:multiLevelType w:val="multilevel"/>
    <w:tmpl w:val="28C6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E785F"/>
    <w:multiLevelType w:val="multilevel"/>
    <w:tmpl w:val="5008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E4DEE"/>
    <w:multiLevelType w:val="multilevel"/>
    <w:tmpl w:val="C69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F0"/>
    <w:rsid w:val="00002C8F"/>
    <w:rsid w:val="00053FD1"/>
    <w:rsid w:val="000A227B"/>
    <w:rsid w:val="0015208C"/>
    <w:rsid w:val="0018249F"/>
    <w:rsid w:val="001D3DA4"/>
    <w:rsid w:val="001F5B6A"/>
    <w:rsid w:val="002041C7"/>
    <w:rsid w:val="0026764B"/>
    <w:rsid w:val="002926D3"/>
    <w:rsid w:val="002D0D03"/>
    <w:rsid w:val="00336E57"/>
    <w:rsid w:val="003459E4"/>
    <w:rsid w:val="00420A19"/>
    <w:rsid w:val="00454A3C"/>
    <w:rsid w:val="00520308"/>
    <w:rsid w:val="00554A08"/>
    <w:rsid w:val="005D61FE"/>
    <w:rsid w:val="005F4E26"/>
    <w:rsid w:val="006C5B1D"/>
    <w:rsid w:val="00705EAF"/>
    <w:rsid w:val="00784AA4"/>
    <w:rsid w:val="00816A2C"/>
    <w:rsid w:val="00885520"/>
    <w:rsid w:val="00890A1B"/>
    <w:rsid w:val="008A3BB4"/>
    <w:rsid w:val="008F5FED"/>
    <w:rsid w:val="009101F7"/>
    <w:rsid w:val="00961CF0"/>
    <w:rsid w:val="009715BF"/>
    <w:rsid w:val="009F20B5"/>
    <w:rsid w:val="00A43D47"/>
    <w:rsid w:val="00AC419A"/>
    <w:rsid w:val="00B20A11"/>
    <w:rsid w:val="00B50343"/>
    <w:rsid w:val="00CA544D"/>
    <w:rsid w:val="00CA6E24"/>
    <w:rsid w:val="00DB412E"/>
    <w:rsid w:val="00DD196D"/>
    <w:rsid w:val="00E24F18"/>
    <w:rsid w:val="00E45B22"/>
    <w:rsid w:val="00E70E03"/>
    <w:rsid w:val="00F2094E"/>
    <w:rsid w:val="00F50F4D"/>
    <w:rsid w:val="00F814AC"/>
    <w:rsid w:val="00F8714B"/>
    <w:rsid w:val="00F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12"/>
        <w:sz w:val="28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C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05EAF"/>
    <w:pPr>
      <w:spacing w:before="100" w:beforeAutospacing="1" w:after="100" w:afterAutospacing="1" w:line="240" w:lineRule="auto"/>
    </w:pPr>
    <w:rPr>
      <w:spacing w:val="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04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1C7"/>
  </w:style>
  <w:style w:type="paragraph" w:styleId="Footer">
    <w:name w:val="footer"/>
    <w:basedOn w:val="Normal"/>
    <w:link w:val="FooterChar"/>
    <w:uiPriority w:val="99"/>
    <w:unhideWhenUsed/>
    <w:rsid w:val="00204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12"/>
        <w:sz w:val="28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C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05EAF"/>
    <w:pPr>
      <w:spacing w:before="100" w:beforeAutospacing="1" w:after="100" w:afterAutospacing="1" w:line="240" w:lineRule="auto"/>
    </w:pPr>
    <w:rPr>
      <w:spacing w:val="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04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1C7"/>
  </w:style>
  <w:style w:type="paragraph" w:styleId="Footer">
    <w:name w:val="footer"/>
    <w:basedOn w:val="Normal"/>
    <w:link w:val="FooterChar"/>
    <w:uiPriority w:val="99"/>
    <w:unhideWhenUsed/>
    <w:rsid w:val="00204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2317-AD97-4BBC-A9BA-BBA0098C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2016-07-02T14:20:00Z</dcterms:created>
  <dcterms:modified xsi:type="dcterms:W3CDTF">2016-07-12T08:28:00Z</dcterms:modified>
</cp:coreProperties>
</file>